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97E6" w14:textId="77777777" w:rsidR="00CF59CF" w:rsidRDefault="00CF59CF" w:rsidP="00CF59CF">
      <w:pPr>
        <w:rPr>
          <w:rFonts w:ascii="Times New Roman" w:hAnsi="Times New Roman" w:cs="Times New Roman"/>
          <w:b/>
          <w:bCs/>
          <w:color w:val="3A4F66"/>
          <w:sz w:val="36"/>
          <w:szCs w:val="36"/>
          <w:lang w:val="hr-HR" w:eastAsia="hr-HR"/>
        </w:rPr>
      </w:pPr>
      <w:r>
        <w:rPr>
          <w:rFonts w:ascii="Times New Roman" w:hAnsi="Times New Roman" w:cs="Times New Roman"/>
          <w:b/>
          <w:bCs/>
          <w:color w:val="3A4F66"/>
          <w:sz w:val="36"/>
          <w:szCs w:val="36"/>
          <w:lang w:val="hr-HR" w:eastAsia="hr-HR"/>
        </w:rPr>
        <w:t>Zakoni i pravilnici u odgoju i obrazovanju</w:t>
      </w:r>
    </w:p>
    <w:p w14:paraId="7A843E39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5" w:tgtFrame="_blank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Zakon o radu</w:t>
        </w:r>
      </w:hyperlink>
      <w: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  <w:t> ( izvor: Zakon.hr)</w:t>
      </w:r>
    </w:p>
    <w:p w14:paraId="3E5411A9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6" w:tgtFrame="_blank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Zakon o odgoju i obrazovanju u osnovnoj i srednjoj školi</w:t>
        </w:r>
      </w:hyperlink>
      <w: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  <w:t> (izvor: Zakon.hr)</w:t>
      </w:r>
    </w:p>
    <w:p w14:paraId="3A364B19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7" w:tgtFrame="_blank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načinima, postupcima i elementima vrednovanja učenika u osnovnoj i srednjoj školi</w:t>
        </w:r>
      </w:hyperlink>
    </w:p>
    <w:p w14:paraId="4FEBDB98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8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izmjenama i dopuni Pravilnika o načinima, postupcima i elementima vrednovanja učenika u osnovnim i srednjim školama</w:t>
        </w:r>
      </w:hyperlink>
    </w:p>
    <w:p w14:paraId="26542412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9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napredovanju učitelja, nastavnika, stručnih suradnika i ravnatelja u osnovnim i srednjim školama i učeničkim domovima</w:t>
        </w:r>
      </w:hyperlink>
    </w:p>
    <w:p w14:paraId="04F895D1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0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odgovarajućoj vrsti obrazovanja učitelja i stručnih suradnika u osnovnoj školi</w:t>
        </w:r>
      </w:hyperlink>
    </w:p>
    <w:p w14:paraId="4F982D25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1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izmjeni i dopunama Pravilnika o odgovarajućoj vrsti obrazovanja učitelja i stručnih suradnika u osnovnoj školi</w:t>
        </w:r>
      </w:hyperlink>
    </w:p>
    <w:p w14:paraId="1C08C374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2" w:tgtFrame="_blank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polaganju stručnog ispita učitelja i stručnih suradnika u osnovnom školstvu i nastavnika u srednjem školstvu</w:t>
        </w:r>
      </w:hyperlink>
    </w:p>
    <w:p w14:paraId="173EF8E8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3" w:tgtFrame="_blank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Državni pedagoški standard osnovnoškolskog sustava odgoja i obrazovanja</w:t>
        </w:r>
      </w:hyperlink>
    </w:p>
    <w:p w14:paraId="65DFA5DC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4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Izmjene i dopune Državnoga pedagoškog standarda osnovnoškolskog sustava odgoja i obrazovan</w:t>
        </w:r>
      </w:hyperlink>
      <w: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  <w:t>ja</w:t>
      </w:r>
    </w:p>
    <w:p w14:paraId="4FEAD0FF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5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kriterijima za izricanje pedagoških mjera </w:t>
        </w:r>
      </w:hyperlink>
    </w:p>
    <w:p w14:paraId="7E60ABF0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6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Izmjeni Pravilnika o kriterijima za izricanje pedagoških mjera</w:t>
        </w:r>
      </w:hyperlink>
    </w:p>
    <w:p w14:paraId="5DB10634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7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pedagoškoj dokumentaciji i evidenciji te javnim ispravama u školskim ustanovama</w:t>
        </w:r>
      </w:hyperlink>
    </w:p>
    <w:p w14:paraId="6B47E802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8" w:tgtFrame="_blank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 o zaštiti, reviziji i otpisu knjižnične građe</w:t>
        </w:r>
      </w:hyperlink>
    </w:p>
    <w:p w14:paraId="409C7CE1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19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Pravilnik o izvođenju izleta, ekskurzija i drugih odgojno-obrazovnih aktivnosti izvan škole</w:t>
        </w:r>
      </w:hyperlink>
    </w:p>
    <w:p w14:paraId="4E6F89CC" w14:textId="77777777" w:rsidR="00CF59CF" w:rsidRDefault="00CF59CF" w:rsidP="00CF59CF">
      <w:pPr>
        <w:numPr>
          <w:ilvl w:val="0"/>
          <w:numId w:val="1"/>
        </w:numPr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  <w:hyperlink r:id="rId20" w:history="1">
        <w:r>
          <w:rPr>
            <w:rStyle w:val="Hiperveza"/>
            <w:rFonts w:ascii="Times New Roman" w:hAnsi="Times New Roman" w:cs="Times New Roman"/>
            <w:color w:val="2F5597"/>
            <w:sz w:val="28"/>
            <w:szCs w:val="28"/>
            <w:lang w:val="hr-HR" w:eastAsia="hr-HR"/>
          </w:rPr>
          <w:t>Kolektivni ugovor za zaposlenike u osnovnoškolskim ustanovama</w:t>
        </w:r>
      </w:hyperlink>
    </w:p>
    <w:p w14:paraId="28062A95" w14:textId="77777777" w:rsidR="00CF59CF" w:rsidRDefault="00CF59CF" w:rsidP="00CF59CF">
      <w:pPr>
        <w:ind w:left="1440"/>
        <w:rPr>
          <w:rFonts w:ascii="Times New Roman" w:hAnsi="Times New Roman" w:cs="Times New Roman"/>
          <w:color w:val="2F5597"/>
          <w:sz w:val="28"/>
          <w:szCs w:val="28"/>
          <w:lang w:val="hr-HR" w:eastAsia="hr-HR"/>
        </w:rPr>
      </w:pPr>
    </w:p>
    <w:p w14:paraId="767F3F41" w14:textId="77777777" w:rsidR="00EA50DE" w:rsidRDefault="00EA50DE"/>
    <w:sectPr w:rsidR="00EA5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D5E36"/>
    <w:multiLevelType w:val="multilevel"/>
    <w:tmpl w:val="2C447E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250041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29"/>
    <w:rsid w:val="006D294A"/>
    <w:rsid w:val="008372EA"/>
    <w:rsid w:val="00AA4F29"/>
    <w:rsid w:val="00CA7CF8"/>
    <w:rsid w:val="00CF59CF"/>
    <w:rsid w:val="00E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01BF-6F20-4994-95EA-3B46BC61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C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A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4F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4F2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4F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4F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4F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4F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4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4F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4F2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4F2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4F2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4F2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CF59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://narodne-novine.nn.hr/clanci/sluzbeni/2008_06_63_2129.html" TargetMode="External"/><Relationship Id="rId18" Type="http://schemas.openxmlformats.org/officeDocument/2006/relationships/hyperlink" Target="https://narodne-novine.nn.hr/clanci/sluzbeni/2023_03_27_452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arodne-novine.nn.hr/clanci/sluzbeni/2010_09_112_2973.html" TargetMode="External"/><Relationship Id="rId12" Type="http://schemas.openxmlformats.org/officeDocument/2006/relationships/hyperlink" Target="http://narodne-novine.nn.hr/clanci/sluzbeni/2003_05_88_1135.html" TargetMode="External"/><Relationship Id="rId17" Type="http://schemas.openxmlformats.org/officeDocument/2006/relationships/hyperlink" Target="https://narodne-novine.nn.hr/clanci/sluzbeni/2017_05_47_110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3_125.html" TargetMode="External"/><Relationship Id="rId20" Type="http://schemas.openxmlformats.org/officeDocument/2006/relationships/hyperlink" Target="https://narodne-novine.nn.hr/clanci/sluzbeni/2018_06_51_101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%C5%A1koli" TargetMode="External"/><Relationship Id="rId11" Type="http://schemas.openxmlformats.org/officeDocument/2006/relationships/hyperlink" Target="https://narodne-novine.nn.hr/clanci/sluzbeni/2020_07_75_1449.html" TargetMode="External"/><Relationship Id="rId5" Type="http://schemas.openxmlformats.org/officeDocument/2006/relationships/hyperlink" Target="https://www.zakon.hr/z/307/Zakon-o-radu" TargetMode="External"/><Relationship Id="rId15" Type="http://schemas.openxmlformats.org/officeDocument/2006/relationships/hyperlink" Target="https://narodne-novine.nn.hr/clanci/sluzbeni/2015_09_94_1818.html" TargetMode="External"/><Relationship Id="rId10" Type="http://schemas.openxmlformats.org/officeDocument/2006/relationships/hyperlink" Target="https://narodne-novine.nn.hr/clanci/sluzbeni/2019_01_6_137.html" TargetMode="External"/><Relationship Id="rId19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oo.hr/napredovanje-u-zvanje-arhiva/pravilnik-o-napredovanju-ucitelja-nastavnika-strucnih-suradnika-i-ravnatelja-u-osnovnim-i-srednjim-skolama-i-ucenickim-domovima/" TargetMode="External"/><Relationship Id="rId14" Type="http://schemas.openxmlformats.org/officeDocument/2006/relationships/hyperlink" Target="https://narodne-novine.nn.hr/clanci/sluzbeni/2010_07_90_253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Nijaz Ćesir</dc:creator>
  <cp:keywords/>
  <dc:description/>
  <cp:lastModifiedBy>Nijaz Ćesir</cp:lastModifiedBy>
  <cp:revision>3</cp:revision>
  <dcterms:created xsi:type="dcterms:W3CDTF">2025-02-09T13:03:00Z</dcterms:created>
  <dcterms:modified xsi:type="dcterms:W3CDTF">2025-02-09T13:03:00Z</dcterms:modified>
</cp:coreProperties>
</file>